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A5E" w:rsidRPr="00BF3A5E" w:rsidRDefault="00BF3A5E" w:rsidP="00BF3A5E">
      <w:pPr>
        <w:rPr>
          <w:szCs w:val="24"/>
        </w:rPr>
      </w:pPr>
    </w:p>
    <w:p w:rsidR="00BF3A5E" w:rsidRPr="00BF3A5E" w:rsidRDefault="00BF3A5E" w:rsidP="00BF3A5E">
      <w:pPr>
        <w:rPr>
          <w:szCs w:val="24"/>
        </w:rPr>
      </w:pPr>
    </w:p>
    <w:p w:rsidR="00BF3A5E" w:rsidRPr="00BF3A5E" w:rsidRDefault="00BF3A5E" w:rsidP="00BF3A5E">
      <w:pPr>
        <w:rPr>
          <w:szCs w:val="24"/>
        </w:rPr>
      </w:pPr>
    </w:p>
    <w:p w:rsidR="00BF3A5E" w:rsidRPr="00BF3A5E" w:rsidRDefault="00BF3A5E" w:rsidP="00BF3A5E">
      <w:pPr>
        <w:rPr>
          <w:szCs w:val="24"/>
        </w:rPr>
      </w:pPr>
    </w:p>
    <w:p w:rsidR="00BF3A5E" w:rsidRPr="00BF3A5E" w:rsidRDefault="00BF3A5E" w:rsidP="00BF3A5E">
      <w:pPr>
        <w:rPr>
          <w:szCs w:val="24"/>
        </w:rPr>
      </w:pPr>
    </w:p>
    <w:p w:rsidR="00BF3A5E" w:rsidRPr="00BF3A5E" w:rsidRDefault="00BF3A5E" w:rsidP="00BF3A5E">
      <w:pPr>
        <w:rPr>
          <w:szCs w:val="24"/>
        </w:rPr>
      </w:pPr>
    </w:p>
    <w:p w:rsidR="00BF3A5E" w:rsidRPr="00BF3A5E" w:rsidRDefault="00BF3A5E" w:rsidP="00BF3A5E">
      <w:pPr>
        <w:rPr>
          <w:szCs w:val="24"/>
        </w:rPr>
      </w:pPr>
    </w:p>
    <w:p w:rsidR="00BF3A5E" w:rsidRPr="00BF3A5E" w:rsidRDefault="00BF3A5E" w:rsidP="00BF3A5E">
      <w:pPr>
        <w:rPr>
          <w:szCs w:val="24"/>
        </w:rPr>
      </w:pPr>
    </w:p>
    <w:p w:rsidR="00BF3A5E" w:rsidRPr="00BF3A5E" w:rsidRDefault="00BF3A5E" w:rsidP="00BF3A5E">
      <w:pPr>
        <w:rPr>
          <w:szCs w:val="24"/>
        </w:rPr>
      </w:pPr>
    </w:p>
    <w:p w:rsidR="00BF3A5E" w:rsidRPr="00BF3A5E" w:rsidRDefault="00BF3A5E" w:rsidP="00BF3A5E">
      <w:pPr>
        <w:jc w:val="center"/>
        <w:rPr>
          <w:szCs w:val="24"/>
        </w:rPr>
      </w:pPr>
      <w:r w:rsidRPr="00BF3A5E">
        <w:rPr>
          <w:szCs w:val="24"/>
        </w:rPr>
        <w:t>Juvenile Justice System with the Criminal Procedures</w:t>
      </w:r>
    </w:p>
    <w:p w:rsidR="00BF3A5E" w:rsidRPr="00BF3A5E" w:rsidRDefault="00BF3A5E" w:rsidP="00BF3A5E">
      <w:pPr>
        <w:jc w:val="center"/>
        <w:rPr>
          <w:szCs w:val="24"/>
        </w:rPr>
      </w:pPr>
      <w:r w:rsidRPr="00BF3A5E">
        <w:rPr>
          <w:szCs w:val="24"/>
        </w:rPr>
        <w:t>Name</w:t>
      </w:r>
    </w:p>
    <w:p w:rsidR="00BF3A5E" w:rsidRPr="00BF3A5E" w:rsidRDefault="00BF3A5E" w:rsidP="00BF3A5E">
      <w:pPr>
        <w:jc w:val="center"/>
        <w:rPr>
          <w:szCs w:val="24"/>
        </w:rPr>
      </w:pPr>
      <w:r w:rsidRPr="00BF3A5E">
        <w:rPr>
          <w:szCs w:val="24"/>
        </w:rPr>
        <w:t>Institution of Affiliation </w:t>
      </w:r>
    </w:p>
    <w:p w:rsidR="00BF3A5E" w:rsidRDefault="00BF3A5E" w:rsidP="00BF3A5E">
      <w:pPr>
        <w:spacing w:line="276" w:lineRule="auto"/>
        <w:jc w:val="center"/>
        <w:rPr>
          <w:szCs w:val="24"/>
        </w:rPr>
      </w:pPr>
      <w:r>
        <w:rPr>
          <w:szCs w:val="24"/>
        </w:rPr>
        <w:br w:type="page"/>
      </w:r>
    </w:p>
    <w:p w:rsidR="00BF3A5E" w:rsidRPr="00BF3A5E" w:rsidRDefault="00BF3A5E" w:rsidP="00BF3A5E">
      <w:pPr>
        <w:jc w:val="center"/>
        <w:rPr>
          <w:b/>
          <w:szCs w:val="24"/>
        </w:rPr>
      </w:pPr>
      <w:r w:rsidRPr="00BF3A5E">
        <w:rPr>
          <w:b/>
          <w:szCs w:val="24"/>
        </w:rPr>
        <w:lastRenderedPageBreak/>
        <w:t>Juvenile Justice System with the Criminal Procedures</w:t>
      </w:r>
    </w:p>
    <w:p w:rsidR="00BF3A5E" w:rsidRPr="00BF3A5E" w:rsidRDefault="00BF3A5E" w:rsidP="00BF3A5E">
      <w:pPr>
        <w:ind w:firstLine="720"/>
        <w:rPr>
          <w:szCs w:val="24"/>
        </w:rPr>
      </w:pPr>
      <w:r w:rsidRPr="00BF3A5E">
        <w:rPr>
          <w:szCs w:val="24"/>
        </w:rPr>
        <w:t xml:space="preserve"> The juvenile justice system was absent in the U.S until the early 19th century when there were reforms in the progressive era. Education became mandatory, child labor laws were established, school started offering lunches, and vocational training was established all as a way of enhancing optimal child development. The juvenile justice system sought to divert from the destructive punishment of youthful offenders to promote rehabilitation based on the individual child’s needs. Before the reforms, the minimum age for conviction in a criminal court and sentenced to jail or death</w:t>
      </w:r>
      <w:r w:rsidR="00DA5154">
        <w:rPr>
          <w:szCs w:val="24"/>
        </w:rPr>
        <w:t xml:space="preserve"> was 7 years</w:t>
      </w:r>
      <w:r w:rsidRPr="00BF3A5E">
        <w:rPr>
          <w:szCs w:val="24"/>
        </w:rPr>
        <w:t xml:space="preserve">. Children below 7 years were considered too young to form any criminal intent and were exempted from court trial and punishment. </w:t>
      </w:r>
    </w:p>
    <w:p w:rsidR="00BF3A5E" w:rsidRPr="00BF3A5E" w:rsidRDefault="00BF3A5E" w:rsidP="00BF3A5E">
      <w:pPr>
        <w:ind w:firstLine="720"/>
        <w:rPr>
          <w:szCs w:val="24"/>
        </w:rPr>
      </w:pPr>
      <w:r w:rsidRPr="00BF3A5E">
        <w:rPr>
          <w:szCs w:val="24"/>
        </w:rPr>
        <w:t xml:space="preserve">The new system of juvenile justice changed the focus on the child as a person who needs help rather than concentrating on the act that brought him/her to court. The proceedings in the juvenile criminal court are informal with the judge at discretion to act in the best interest of the child. Typical bureaucratic safeguards such as the attorney rights, right to a fair trial, right to know the charges, and right to confront the accuser are thought unnecessary. The proceedings are private with the public being unwelcome while the juvenile records remain confidential to avoid interfering with the juvenile’s rehabilitation and reintegration into the society. The language is also different in these courts; juveniles are not charged with crimes but delinquencies, they are not ruled guilty but rather delinquent, they are sent to reformatory schools rather than prison. </w:t>
      </w:r>
    </w:p>
    <w:p w:rsidR="00BF3A5E" w:rsidRPr="00BF3A5E" w:rsidRDefault="00BF3A5E" w:rsidP="00BF3A5E">
      <w:pPr>
        <w:ind w:firstLine="720"/>
        <w:rPr>
          <w:szCs w:val="24"/>
        </w:rPr>
      </w:pPr>
      <w:r w:rsidRPr="00BF3A5E">
        <w:rPr>
          <w:szCs w:val="24"/>
        </w:rPr>
        <w:t xml:space="preserve">The court has the legal discretion to protect the juveniles from themselves and thus the ruling of the cases is based on the least detrimental alternative; this is the legal concept known as parens patriae. However, controversy exists in the use of indeterminate sentencing, which allows the jury to establish the maximum sentence. The child is observed during the sentence and is </w:t>
      </w:r>
      <w:r w:rsidRPr="00BF3A5E">
        <w:rPr>
          <w:szCs w:val="24"/>
        </w:rPr>
        <w:lastRenderedPageBreak/>
        <w:t>only freed when the judge is contented by the rehabilitation that has occurred or when the maximum sentence has been served. The court process usually varies depending on the type of case. The cases may take three different forms: Juvenile delinquency, juvenile dependency, or status offense cases.</w:t>
      </w:r>
    </w:p>
    <w:p w:rsidR="00BF3A5E" w:rsidRPr="00BF3A5E" w:rsidRDefault="00BF3A5E" w:rsidP="00BF3A5E">
      <w:pPr>
        <w:ind w:firstLine="720"/>
        <w:rPr>
          <w:szCs w:val="24"/>
        </w:rPr>
      </w:pPr>
      <w:r w:rsidRPr="00BF3A5E">
        <w:rPr>
          <w:szCs w:val="24"/>
        </w:rPr>
        <w:t xml:space="preserve">Juvenile delinquency cases involve children whose deeds, if they were adults, are considered as offenses and would be convicted in a criminal court. Children are presumed to be developmentally different from adults and are thus more yielding to rehabilitative attempts; they are therefore not held liable for criminal activities but are thought to need court’s intervention and guidance. The reason for being brought before the court is less important than the understanding of the child’s life situation and the need for help. Juvenile dependency cases involve children that have been neglected, abused, or abandoned by their custodians. The center of attention is on the child’s safety and a healthy psychological reconstruction for normal development into adulthood. Status offense cases involve status offenses that apply only to children and young adolescents. This may include violation of curfews, underage drinking or driving, truancy, or runaways. </w:t>
      </w:r>
    </w:p>
    <w:p w:rsidR="00BF3A5E" w:rsidRPr="00BF3A5E" w:rsidRDefault="00BF3A5E" w:rsidP="00BF3A5E">
      <w:pPr>
        <w:ind w:firstLine="720"/>
        <w:rPr>
          <w:szCs w:val="24"/>
        </w:rPr>
      </w:pPr>
      <w:r w:rsidRPr="00BF3A5E">
        <w:rPr>
          <w:szCs w:val="24"/>
        </w:rPr>
        <w:t>The organization model for juvenile justice systems varies from state to state with some states, such as Alabama, allowing counties discretion in developing own juvenile justice systems. In the U.S, there are at least 51 different juvenile systems; each state and the District of Columbia have its own policies that administer juvenile justice. The national government has authority over a limited control on the juvenile justice systems such as those committing crimes in national parks or Indian reservations. States that accept funding under the federal Juvenile Justice and Delinquency Prevention Act are obliged to adhere to certain standards, such as separate accommodation of juveniles from adult criminals.</w:t>
      </w:r>
    </w:p>
    <w:p w:rsidR="00BF3A5E" w:rsidRPr="00BF3A5E" w:rsidRDefault="00BF3A5E" w:rsidP="00BF3A5E">
      <w:pPr>
        <w:ind w:firstLine="720"/>
        <w:rPr>
          <w:szCs w:val="24"/>
        </w:rPr>
      </w:pPr>
      <w:r w:rsidRPr="00BF3A5E">
        <w:rPr>
          <w:szCs w:val="24"/>
        </w:rPr>
        <w:lastRenderedPageBreak/>
        <w:t>Although the procedural process for justice systems varies among the various states, they follow the same outline from juvenile apprehension to ruling by the jury. The matter comes into the court’s attention when the police detain a child for violating a law. The court intake officer assesses the case to determine if it warrants a jury hearing. If the case is serious, the child is held in a correction facility pending ruling on the matter. If the intake officer decides that a hearing is unnecessary, counseling arrangements are made for the child. If the officer chooses that the matter needs a hearing by the jury, he/she files the petition with the court indicating the statute that the juvenile has violated. In serious matters such as murder or rape, the case is referred to the district attorney, where the child may be charged as an adult. If the matter stays in the juvenile court and the child acknowledge to the charge, a rehabilitation program is ordered. If the juvenile denies the charges, a hearing similar to an adult criminal trial is arranged. If the claims fail to convince the judge, he/she dismisses the case; if they convince the judge, then he/she rules the case as a status offense or delinquency.</w:t>
      </w:r>
    </w:p>
    <w:p w:rsidR="00BF3A5E" w:rsidRPr="00BF3A5E" w:rsidRDefault="00BF3A5E" w:rsidP="00BF3A5E">
      <w:pPr>
        <w:ind w:firstLine="720"/>
        <w:rPr>
          <w:szCs w:val="24"/>
        </w:rPr>
      </w:pPr>
      <w:r w:rsidRPr="00BF3A5E">
        <w:rPr>
          <w:szCs w:val="24"/>
        </w:rPr>
        <w:t xml:space="preserve">Children involved in the justice system have been observed to be the disproportionate minority and living below the poverty line. They have strained or no family connections. Some have mental health needs while others have negative educational experiences and outcomes. The trauma they experience during the system involvement can negatively affect their development to adulthood. Family tensions resulting from abuse or out-of-home placement can make it difficult for such children to establish a support frame for overcoming personal barriers to life success. Allowing the adolescent child to exit the system without making sure this family and community relationships are repaired reduces the juvenile’s future accomplishment in school, employment, and financial matters. </w:t>
      </w:r>
    </w:p>
    <w:p w:rsidR="00BF3A5E" w:rsidRPr="00BF3A5E" w:rsidRDefault="00BF3A5E" w:rsidP="00BF3A5E">
      <w:pPr>
        <w:rPr>
          <w:szCs w:val="24"/>
        </w:rPr>
      </w:pPr>
      <w:r w:rsidRPr="00BF3A5E">
        <w:rPr>
          <w:szCs w:val="24"/>
        </w:rPr>
        <w:t> </w:t>
      </w:r>
    </w:p>
    <w:p w:rsidR="00BF3A5E" w:rsidRPr="00BF3A5E" w:rsidRDefault="00BF3A5E" w:rsidP="00BF3A5E">
      <w:pPr>
        <w:jc w:val="center"/>
        <w:rPr>
          <w:szCs w:val="24"/>
        </w:rPr>
      </w:pPr>
      <w:r w:rsidRPr="00BF3A5E">
        <w:rPr>
          <w:szCs w:val="24"/>
        </w:rPr>
        <w:lastRenderedPageBreak/>
        <w:t>References</w:t>
      </w:r>
    </w:p>
    <w:p w:rsidR="00BF3A5E" w:rsidRPr="00BF3A5E" w:rsidRDefault="00BF3A5E" w:rsidP="00BF3A5E">
      <w:pPr>
        <w:ind w:left="720" w:hanging="720"/>
        <w:rPr>
          <w:szCs w:val="24"/>
        </w:rPr>
      </w:pPr>
      <w:r w:rsidRPr="00BF3A5E">
        <w:rPr>
          <w:szCs w:val="24"/>
        </w:rPr>
        <w:t>McCord, J., Widom, C. S., &amp; Crowell, N. A. (2001). Juvenile Crime, Juvenile Justice. Panel on Juvenile Crime: Prevention, Treatment, and Control. National Academy Press, 2101 Constitution Avenue, NW, Washington, DC, 20418.</w:t>
      </w:r>
    </w:p>
    <w:p w:rsidR="00BF3A5E" w:rsidRPr="00BF3A5E" w:rsidRDefault="00BF3A5E" w:rsidP="00BF3A5E">
      <w:pPr>
        <w:ind w:left="720" w:hanging="720"/>
        <w:rPr>
          <w:szCs w:val="24"/>
        </w:rPr>
      </w:pPr>
      <w:r w:rsidRPr="00BF3A5E">
        <w:rPr>
          <w:szCs w:val="24"/>
        </w:rPr>
        <w:t>What to Expect: Juvenile Court Chronology. Findlaw. Retrieved from https://criminal.findlaw.com/juvenile-justice/what-to-expect-juvenile-court-chronology.html. 03/23/2019.</w:t>
      </w:r>
    </w:p>
    <w:p w:rsidR="00500790" w:rsidRPr="00BF3A5E" w:rsidRDefault="00500790" w:rsidP="00BF3A5E">
      <w:pPr>
        <w:rPr>
          <w:szCs w:val="24"/>
        </w:rPr>
      </w:pPr>
    </w:p>
    <w:sectPr w:rsidR="00500790" w:rsidRPr="00BF3A5E" w:rsidSect="00904B1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6A56" w:rsidRDefault="00E66A56" w:rsidP="000D06A1">
      <w:pPr>
        <w:spacing w:after="0" w:line="240" w:lineRule="auto"/>
      </w:pPr>
      <w:r>
        <w:separator/>
      </w:r>
    </w:p>
  </w:endnote>
  <w:endnote w:type="continuationSeparator" w:id="1">
    <w:p w:rsidR="00E66A56" w:rsidRDefault="00E66A56" w:rsidP="000D06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6A56" w:rsidRDefault="00E66A56" w:rsidP="000D06A1">
      <w:pPr>
        <w:spacing w:after="0" w:line="240" w:lineRule="auto"/>
      </w:pPr>
      <w:r>
        <w:separator/>
      </w:r>
    </w:p>
  </w:footnote>
  <w:footnote w:type="continuationSeparator" w:id="1">
    <w:p w:rsidR="00E66A56" w:rsidRDefault="00E66A56" w:rsidP="000D06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721" w:rsidRDefault="00904B12">
    <w:pPr>
      <w:pStyle w:val="Header"/>
    </w:pPr>
    <w:r w:rsidRPr="0084526F">
      <w:rPr>
        <w:szCs w:val="24"/>
      </w:rPr>
      <w:t>JUVENILE JUSTICE SYSTEM</w:t>
    </w:r>
    <w:r w:rsidR="00291721">
      <w:tab/>
    </w:r>
    <w:r w:rsidR="00291721">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B12" w:rsidRDefault="00904B12" w:rsidP="00904B12">
    <w:pPr>
      <w:pStyle w:val="Header"/>
    </w:pPr>
    <w:r>
      <w:t xml:space="preserve">Running head: </w:t>
    </w:r>
    <w:r w:rsidRPr="0084526F">
      <w:rPr>
        <w:szCs w:val="24"/>
      </w:rPr>
      <w:t>JUVENILE JUSTICE SYSTEM</w:t>
    </w:r>
    <w:r>
      <w:tab/>
    </w:r>
    <w:r>
      <w:tab/>
    </w:r>
  </w:p>
  <w:p w:rsidR="00904B12" w:rsidRDefault="00904B1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nsid w:val="138D2C44"/>
    <w:multiLevelType w:val="multilevel"/>
    <w:tmpl w:val="E848C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2776F9D"/>
    <w:multiLevelType w:val="hybridMultilevel"/>
    <w:tmpl w:val="54360C6C"/>
    <w:lvl w:ilvl="0" w:tplc="04090009">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4">
    <w:nsid w:val="271B6867"/>
    <w:multiLevelType w:val="hybridMultilevel"/>
    <w:tmpl w:val="23527452"/>
    <w:lvl w:ilvl="0" w:tplc="0409000D">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5">
    <w:nsid w:val="2D927205"/>
    <w:multiLevelType w:val="hybridMultilevel"/>
    <w:tmpl w:val="CDD2B17C"/>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34A5FC6"/>
    <w:multiLevelType w:val="multilevel"/>
    <w:tmpl w:val="056C3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3F46D5"/>
    <w:multiLevelType w:val="multilevel"/>
    <w:tmpl w:val="3AB46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1">
    <w:nsid w:val="4ADC243B"/>
    <w:multiLevelType w:val="multilevel"/>
    <w:tmpl w:val="5EDA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3">
    <w:nsid w:val="52A5505B"/>
    <w:multiLevelType w:val="multilevel"/>
    <w:tmpl w:val="EDFA2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CC537E"/>
    <w:multiLevelType w:val="multilevel"/>
    <w:tmpl w:val="7FF0B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15"/>
  </w:num>
  <w:num w:numId="4">
    <w:abstractNumId w:val="16"/>
  </w:num>
  <w:num w:numId="5">
    <w:abstractNumId w:val="14"/>
  </w:num>
  <w:num w:numId="6">
    <w:abstractNumId w:val="12"/>
  </w:num>
  <w:num w:numId="7">
    <w:abstractNumId w:val="0"/>
  </w:num>
  <w:num w:numId="8">
    <w:abstractNumId w:val="5"/>
  </w:num>
  <w:num w:numId="9">
    <w:abstractNumId w:val="1"/>
  </w:num>
  <w:num w:numId="10">
    <w:abstractNumId w:val="10"/>
  </w:num>
  <w:num w:numId="11">
    <w:abstractNumId w:val="3"/>
  </w:num>
  <w:num w:numId="12">
    <w:abstractNumId w:val="4"/>
  </w:num>
  <w:num w:numId="13">
    <w:abstractNumId w:val="2"/>
  </w:num>
  <w:num w:numId="14">
    <w:abstractNumId w:val="13"/>
  </w:num>
  <w:num w:numId="15">
    <w:abstractNumId w:val="17"/>
  </w:num>
  <w:num w:numId="16">
    <w:abstractNumId w:val="11"/>
  </w:num>
  <w:num w:numId="17">
    <w:abstractNumId w:val="9"/>
  </w:num>
  <w:num w:numId="1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56463"/>
    <w:rsid w:val="00003CA3"/>
    <w:rsid w:val="00004B5C"/>
    <w:rsid w:val="00005050"/>
    <w:rsid w:val="00005398"/>
    <w:rsid w:val="00006007"/>
    <w:rsid w:val="00006AF8"/>
    <w:rsid w:val="00027349"/>
    <w:rsid w:val="00032466"/>
    <w:rsid w:val="00032798"/>
    <w:rsid w:val="000328A8"/>
    <w:rsid w:val="00035C27"/>
    <w:rsid w:val="00036BF2"/>
    <w:rsid w:val="0005745C"/>
    <w:rsid w:val="0007773F"/>
    <w:rsid w:val="000A345B"/>
    <w:rsid w:val="000B31B7"/>
    <w:rsid w:val="000C2115"/>
    <w:rsid w:val="000C7008"/>
    <w:rsid w:val="000D06A1"/>
    <w:rsid w:val="000D52DD"/>
    <w:rsid w:val="000D5CBC"/>
    <w:rsid w:val="000D71FF"/>
    <w:rsid w:val="000F734A"/>
    <w:rsid w:val="000F787F"/>
    <w:rsid w:val="000F7C6E"/>
    <w:rsid w:val="0010693C"/>
    <w:rsid w:val="00112AF0"/>
    <w:rsid w:val="001223C0"/>
    <w:rsid w:val="00123836"/>
    <w:rsid w:val="00125A69"/>
    <w:rsid w:val="001370D0"/>
    <w:rsid w:val="001421B2"/>
    <w:rsid w:val="001469EF"/>
    <w:rsid w:val="00150BA3"/>
    <w:rsid w:val="00153713"/>
    <w:rsid w:val="001560F2"/>
    <w:rsid w:val="00164A5D"/>
    <w:rsid w:val="0017476A"/>
    <w:rsid w:val="00175835"/>
    <w:rsid w:val="00180429"/>
    <w:rsid w:val="001929C1"/>
    <w:rsid w:val="001A1565"/>
    <w:rsid w:val="001C3F1E"/>
    <w:rsid w:val="001D1B49"/>
    <w:rsid w:val="001D235E"/>
    <w:rsid w:val="001E3957"/>
    <w:rsid w:val="001E6623"/>
    <w:rsid w:val="001E6B59"/>
    <w:rsid w:val="001F0DC9"/>
    <w:rsid w:val="001F4AEF"/>
    <w:rsid w:val="00203992"/>
    <w:rsid w:val="0020779C"/>
    <w:rsid w:val="00213CBD"/>
    <w:rsid w:val="00215EF1"/>
    <w:rsid w:val="00222356"/>
    <w:rsid w:val="002232F8"/>
    <w:rsid w:val="002233FD"/>
    <w:rsid w:val="0023444E"/>
    <w:rsid w:val="002376BB"/>
    <w:rsid w:val="0024462C"/>
    <w:rsid w:val="0024525B"/>
    <w:rsid w:val="0025547B"/>
    <w:rsid w:val="002660B2"/>
    <w:rsid w:val="00275168"/>
    <w:rsid w:val="002763B7"/>
    <w:rsid w:val="00280BD4"/>
    <w:rsid w:val="00282838"/>
    <w:rsid w:val="00284BC2"/>
    <w:rsid w:val="00291721"/>
    <w:rsid w:val="00293E8E"/>
    <w:rsid w:val="002B727E"/>
    <w:rsid w:val="002C50C4"/>
    <w:rsid w:val="002C58CE"/>
    <w:rsid w:val="002C7B08"/>
    <w:rsid w:val="002D33AA"/>
    <w:rsid w:val="002D38B0"/>
    <w:rsid w:val="002E5D0F"/>
    <w:rsid w:val="00301223"/>
    <w:rsid w:val="00310C70"/>
    <w:rsid w:val="00313632"/>
    <w:rsid w:val="0031616F"/>
    <w:rsid w:val="003245DA"/>
    <w:rsid w:val="00325372"/>
    <w:rsid w:val="003261CE"/>
    <w:rsid w:val="00326786"/>
    <w:rsid w:val="0033306A"/>
    <w:rsid w:val="00334130"/>
    <w:rsid w:val="003346D7"/>
    <w:rsid w:val="0033693E"/>
    <w:rsid w:val="00337BC7"/>
    <w:rsid w:val="00343683"/>
    <w:rsid w:val="0036037F"/>
    <w:rsid w:val="0036409D"/>
    <w:rsid w:val="0037456C"/>
    <w:rsid w:val="00377571"/>
    <w:rsid w:val="00380552"/>
    <w:rsid w:val="00383CC1"/>
    <w:rsid w:val="003841A0"/>
    <w:rsid w:val="00387976"/>
    <w:rsid w:val="00393C26"/>
    <w:rsid w:val="003A6D5C"/>
    <w:rsid w:val="003B5EDF"/>
    <w:rsid w:val="003C14A1"/>
    <w:rsid w:val="003C22E5"/>
    <w:rsid w:val="003D2B76"/>
    <w:rsid w:val="003D582B"/>
    <w:rsid w:val="003E0CF2"/>
    <w:rsid w:val="003E3592"/>
    <w:rsid w:val="003E52B4"/>
    <w:rsid w:val="003F1261"/>
    <w:rsid w:val="00400D23"/>
    <w:rsid w:val="0041205B"/>
    <w:rsid w:val="004140DF"/>
    <w:rsid w:val="00417848"/>
    <w:rsid w:val="00421A55"/>
    <w:rsid w:val="0042593E"/>
    <w:rsid w:val="004439BF"/>
    <w:rsid w:val="00446610"/>
    <w:rsid w:val="0044707D"/>
    <w:rsid w:val="00452E2A"/>
    <w:rsid w:val="004572E0"/>
    <w:rsid w:val="0046175C"/>
    <w:rsid w:val="00466887"/>
    <w:rsid w:val="00472DAE"/>
    <w:rsid w:val="00475879"/>
    <w:rsid w:val="00481654"/>
    <w:rsid w:val="00495316"/>
    <w:rsid w:val="00496093"/>
    <w:rsid w:val="004A649B"/>
    <w:rsid w:val="004B0994"/>
    <w:rsid w:val="004B2400"/>
    <w:rsid w:val="004B6EF7"/>
    <w:rsid w:val="004D2488"/>
    <w:rsid w:val="004D3875"/>
    <w:rsid w:val="004E19B9"/>
    <w:rsid w:val="004F0400"/>
    <w:rsid w:val="00500008"/>
    <w:rsid w:val="00500790"/>
    <w:rsid w:val="00501114"/>
    <w:rsid w:val="00517F27"/>
    <w:rsid w:val="005244A7"/>
    <w:rsid w:val="00527C9C"/>
    <w:rsid w:val="00533DD4"/>
    <w:rsid w:val="0054223F"/>
    <w:rsid w:val="00557470"/>
    <w:rsid w:val="00562F03"/>
    <w:rsid w:val="00564D2E"/>
    <w:rsid w:val="00580FF1"/>
    <w:rsid w:val="00584C66"/>
    <w:rsid w:val="00585DD1"/>
    <w:rsid w:val="0059732D"/>
    <w:rsid w:val="005A056B"/>
    <w:rsid w:val="005A18DF"/>
    <w:rsid w:val="005B5DD2"/>
    <w:rsid w:val="005B717D"/>
    <w:rsid w:val="005D0B54"/>
    <w:rsid w:val="005D149F"/>
    <w:rsid w:val="005D1899"/>
    <w:rsid w:val="005E344C"/>
    <w:rsid w:val="005E7498"/>
    <w:rsid w:val="005F5035"/>
    <w:rsid w:val="005F56C4"/>
    <w:rsid w:val="00600705"/>
    <w:rsid w:val="00600ACA"/>
    <w:rsid w:val="00607455"/>
    <w:rsid w:val="00607B38"/>
    <w:rsid w:val="00610523"/>
    <w:rsid w:val="0061442B"/>
    <w:rsid w:val="00627DC5"/>
    <w:rsid w:val="00636294"/>
    <w:rsid w:val="006618DB"/>
    <w:rsid w:val="00663BF4"/>
    <w:rsid w:val="00663DB0"/>
    <w:rsid w:val="00665166"/>
    <w:rsid w:val="0068421C"/>
    <w:rsid w:val="0069445C"/>
    <w:rsid w:val="0069643B"/>
    <w:rsid w:val="006A4E10"/>
    <w:rsid w:val="006A5491"/>
    <w:rsid w:val="006B19B4"/>
    <w:rsid w:val="006B3C68"/>
    <w:rsid w:val="006C1BEC"/>
    <w:rsid w:val="006C31EB"/>
    <w:rsid w:val="006D1B94"/>
    <w:rsid w:val="006E65C8"/>
    <w:rsid w:val="006E7E73"/>
    <w:rsid w:val="007054D5"/>
    <w:rsid w:val="00711B49"/>
    <w:rsid w:val="007230F0"/>
    <w:rsid w:val="007272AF"/>
    <w:rsid w:val="00730333"/>
    <w:rsid w:val="007455F9"/>
    <w:rsid w:val="0075124F"/>
    <w:rsid w:val="00755972"/>
    <w:rsid w:val="007561C4"/>
    <w:rsid w:val="007609DE"/>
    <w:rsid w:val="00764EE6"/>
    <w:rsid w:val="00765E25"/>
    <w:rsid w:val="007871D6"/>
    <w:rsid w:val="007A0250"/>
    <w:rsid w:val="007A38F6"/>
    <w:rsid w:val="007C4950"/>
    <w:rsid w:val="007C4A3E"/>
    <w:rsid w:val="007D25FA"/>
    <w:rsid w:val="007D61DB"/>
    <w:rsid w:val="007F442F"/>
    <w:rsid w:val="007F5564"/>
    <w:rsid w:val="0080362F"/>
    <w:rsid w:val="00821977"/>
    <w:rsid w:val="008264FC"/>
    <w:rsid w:val="008311CB"/>
    <w:rsid w:val="00832B4C"/>
    <w:rsid w:val="00834081"/>
    <w:rsid w:val="008361D9"/>
    <w:rsid w:val="0084526F"/>
    <w:rsid w:val="008475FA"/>
    <w:rsid w:val="008504E7"/>
    <w:rsid w:val="0086002E"/>
    <w:rsid w:val="0086612A"/>
    <w:rsid w:val="00881747"/>
    <w:rsid w:val="00886235"/>
    <w:rsid w:val="00890B85"/>
    <w:rsid w:val="00892673"/>
    <w:rsid w:val="008A4674"/>
    <w:rsid w:val="008B0777"/>
    <w:rsid w:val="008C24DB"/>
    <w:rsid w:val="008D7D37"/>
    <w:rsid w:val="008E0010"/>
    <w:rsid w:val="008E163A"/>
    <w:rsid w:val="008F5570"/>
    <w:rsid w:val="009022FD"/>
    <w:rsid w:val="009024BC"/>
    <w:rsid w:val="00904B12"/>
    <w:rsid w:val="009116BD"/>
    <w:rsid w:val="00916955"/>
    <w:rsid w:val="009241AE"/>
    <w:rsid w:val="009455A4"/>
    <w:rsid w:val="00950121"/>
    <w:rsid w:val="00951805"/>
    <w:rsid w:val="00953C56"/>
    <w:rsid w:val="00972E8D"/>
    <w:rsid w:val="009859BC"/>
    <w:rsid w:val="00991668"/>
    <w:rsid w:val="00994B82"/>
    <w:rsid w:val="009B1E04"/>
    <w:rsid w:val="009C244A"/>
    <w:rsid w:val="009C2521"/>
    <w:rsid w:val="009C4619"/>
    <w:rsid w:val="009D7642"/>
    <w:rsid w:val="009E17AF"/>
    <w:rsid w:val="00A02748"/>
    <w:rsid w:val="00A05CC5"/>
    <w:rsid w:val="00A1082C"/>
    <w:rsid w:val="00A10C8A"/>
    <w:rsid w:val="00A133F8"/>
    <w:rsid w:val="00A2207D"/>
    <w:rsid w:val="00A30115"/>
    <w:rsid w:val="00A30357"/>
    <w:rsid w:val="00A35B82"/>
    <w:rsid w:val="00A47D12"/>
    <w:rsid w:val="00A534A5"/>
    <w:rsid w:val="00A556D3"/>
    <w:rsid w:val="00A56463"/>
    <w:rsid w:val="00A57629"/>
    <w:rsid w:val="00A60648"/>
    <w:rsid w:val="00A63141"/>
    <w:rsid w:val="00A90842"/>
    <w:rsid w:val="00AB298B"/>
    <w:rsid w:val="00AC7356"/>
    <w:rsid w:val="00AC7A76"/>
    <w:rsid w:val="00AD34E4"/>
    <w:rsid w:val="00AF1B02"/>
    <w:rsid w:val="00AF51E4"/>
    <w:rsid w:val="00AF704D"/>
    <w:rsid w:val="00B0029F"/>
    <w:rsid w:val="00B0125A"/>
    <w:rsid w:val="00B11793"/>
    <w:rsid w:val="00B16952"/>
    <w:rsid w:val="00B26C94"/>
    <w:rsid w:val="00B33253"/>
    <w:rsid w:val="00B3339D"/>
    <w:rsid w:val="00B333F0"/>
    <w:rsid w:val="00B47773"/>
    <w:rsid w:val="00B5064D"/>
    <w:rsid w:val="00B50E87"/>
    <w:rsid w:val="00B525F4"/>
    <w:rsid w:val="00B53121"/>
    <w:rsid w:val="00B54AC0"/>
    <w:rsid w:val="00B55156"/>
    <w:rsid w:val="00B63D64"/>
    <w:rsid w:val="00B76470"/>
    <w:rsid w:val="00B80C0E"/>
    <w:rsid w:val="00B82E98"/>
    <w:rsid w:val="00B907FE"/>
    <w:rsid w:val="00B9536D"/>
    <w:rsid w:val="00BA0E65"/>
    <w:rsid w:val="00BB00D4"/>
    <w:rsid w:val="00BB1914"/>
    <w:rsid w:val="00BB6141"/>
    <w:rsid w:val="00BC7039"/>
    <w:rsid w:val="00BC774C"/>
    <w:rsid w:val="00BD10B4"/>
    <w:rsid w:val="00BF1B19"/>
    <w:rsid w:val="00BF3A5E"/>
    <w:rsid w:val="00C029D7"/>
    <w:rsid w:val="00C05C1F"/>
    <w:rsid w:val="00C2199D"/>
    <w:rsid w:val="00C22137"/>
    <w:rsid w:val="00C27498"/>
    <w:rsid w:val="00C310EE"/>
    <w:rsid w:val="00C32C44"/>
    <w:rsid w:val="00C34AC4"/>
    <w:rsid w:val="00C44938"/>
    <w:rsid w:val="00C62965"/>
    <w:rsid w:val="00C63166"/>
    <w:rsid w:val="00C7333D"/>
    <w:rsid w:val="00C75B1F"/>
    <w:rsid w:val="00C85773"/>
    <w:rsid w:val="00C8608C"/>
    <w:rsid w:val="00C87C68"/>
    <w:rsid w:val="00C90E84"/>
    <w:rsid w:val="00C9157D"/>
    <w:rsid w:val="00CA018D"/>
    <w:rsid w:val="00CB326F"/>
    <w:rsid w:val="00CB395A"/>
    <w:rsid w:val="00CE2F19"/>
    <w:rsid w:val="00CE6257"/>
    <w:rsid w:val="00CF1A36"/>
    <w:rsid w:val="00CF625B"/>
    <w:rsid w:val="00D14070"/>
    <w:rsid w:val="00D234BD"/>
    <w:rsid w:val="00D319F5"/>
    <w:rsid w:val="00D349FE"/>
    <w:rsid w:val="00D35D16"/>
    <w:rsid w:val="00D4789E"/>
    <w:rsid w:val="00D527A1"/>
    <w:rsid w:val="00D537A6"/>
    <w:rsid w:val="00D71E73"/>
    <w:rsid w:val="00D75784"/>
    <w:rsid w:val="00D76A0D"/>
    <w:rsid w:val="00D901C4"/>
    <w:rsid w:val="00D942BF"/>
    <w:rsid w:val="00DA5154"/>
    <w:rsid w:val="00DB008C"/>
    <w:rsid w:val="00DB2A73"/>
    <w:rsid w:val="00DB3507"/>
    <w:rsid w:val="00DB389A"/>
    <w:rsid w:val="00DC386B"/>
    <w:rsid w:val="00DC3E79"/>
    <w:rsid w:val="00DD131E"/>
    <w:rsid w:val="00DD25B1"/>
    <w:rsid w:val="00DD6F42"/>
    <w:rsid w:val="00DE3A85"/>
    <w:rsid w:val="00DF15A3"/>
    <w:rsid w:val="00DF50E6"/>
    <w:rsid w:val="00E15AE5"/>
    <w:rsid w:val="00E200AB"/>
    <w:rsid w:val="00E2053D"/>
    <w:rsid w:val="00E26370"/>
    <w:rsid w:val="00E31776"/>
    <w:rsid w:val="00E32D19"/>
    <w:rsid w:val="00E42E2C"/>
    <w:rsid w:val="00E553AF"/>
    <w:rsid w:val="00E66A56"/>
    <w:rsid w:val="00E741A1"/>
    <w:rsid w:val="00E7689E"/>
    <w:rsid w:val="00E8276F"/>
    <w:rsid w:val="00E8609A"/>
    <w:rsid w:val="00EA34CC"/>
    <w:rsid w:val="00EA68B4"/>
    <w:rsid w:val="00EB0F03"/>
    <w:rsid w:val="00EB37C4"/>
    <w:rsid w:val="00EB5E18"/>
    <w:rsid w:val="00ED5B5A"/>
    <w:rsid w:val="00EE69DB"/>
    <w:rsid w:val="00EE70F9"/>
    <w:rsid w:val="00EF359B"/>
    <w:rsid w:val="00EF5D1D"/>
    <w:rsid w:val="00F0151D"/>
    <w:rsid w:val="00F10E13"/>
    <w:rsid w:val="00F12CD6"/>
    <w:rsid w:val="00F17130"/>
    <w:rsid w:val="00F223E6"/>
    <w:rsid w:val="00F225ED"/>
    <w:rsid w:val="00F363A5"/>
    <w:rsid w:val="00F40284"/>
    <w:rsid w:val="00F46B2C"/>
    <w:rsid w:val="00F6659B"/>
    <w:rsid w:val="00F82A1C"/>
    <w:rsid w:val="00F87E75"/>
    <w:rsid w:val="00F91122"/>
    <w:rsid w:val="00F97478"/>
    <w:rsid w:val="00FB6E16"/>
    <w:rsid w:val="00FC0659"/>
    <w:rsid w:val="00FC3CD9"/>
    <w:rsid w:val="00FD7355"/>
    <w:rsid w:val="00FF04F8"/>
    <w:rsid w:val="00FF39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3">
    <w:name w:val="heading 3"/>
    <w:basedOn w:val="Normal"/>
    <w:next w:val="Normal"/>
    <w:link w:val="Heading3Char"/>
    <w:uiPriority w:val="9"/>
    <w:semiHidden/>
    <w:unhideWhenUsed/>
    <w:qFormat/>
    <w:rsid w:val="000050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documentpreview">
    <w:name w:val="document__preview"/>
    <w:basedOn w:val="DefaultParagraphFont"/>
    <w:rsid w:val="00343683"/>
  </w:style>
  <w:style w:type="character" w:customStyle="1" w:styleId="termtext">
    <w:name w:val="termtext"/>
    <w:basedOn w:val="DefaultParagraphFont"/>
    <w:rsid w:val="00500790"/>
  </w:style>
  <w:style w:type="character" w:customStyle="1" w:styleId="Heading3Char">
    <w:name w:val="Heading 3 Char"/>
    <w:basedOn w:val="DefaultParagraphFont"/>
    <w:link w:val="Heading3"/>
    <w:uiPriority w:val="9"/>
    <w:semiHidden/>
    <w:rsid w:val="00005050"/>
    <w:rPr>
      <w:rFonts w:asciiTheme="majorHAnsi" w:eastAsiaTheme="majorEastAsia" w:hAnsiTheme="majorHAnsi" w:cstheme="majorBidi"/>
      <w:b/>
      <w:bCs/>
      <w:color w:val="4F81BD" w:themeColor="accent1"/>
      <w:sz w:val="24"/>
    </w:rPr>
  </w:style>
</w:styles>
</file>

<file path=word/webSettings.xml><?xml version="1.0" encoding="utf-8"?>
<w:webSettings xmlns:r="http://schemas.openxmlformats.org/officeDocument/2006/relationships" xmlns:w="http://schemas.openxmlformats.org/wordprocessingml/2006/main">
  <w:divs>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196353945">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354114939">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549996313">
      <w:bodyDiv w:val="1"/>
      <w:marLeft w:val="0"/>
      <w:marRight w:val="0"/>
      <w:marTop w:val="0"/>
      <w:marBottom w:val="0"/>
      <w:divBdr>
        <w:top w:val="none" w:sz="0" w:space="0" w:color="auto"/>
        <w:left w:val="none" w:sz="0" w:space="0" w:color="auto"/>
        <w:bottom w:val="none" w:sz="0" w:space="0" w:color="auto"/>
        <w:right w:val="none" w:sz="0" w:space="0" w:color="auto"/>
      </w:divBdr>
      <w:divsChild>
        <w:div w:id="1136875830">
          <w:marLeft w:val="0"/>
          <w:marRight w:val="0"/>
          <w:marTop w:val="0"/>
          <w:marBottom w:val="0"/>
          <w:divBdr>
            <w:top w:val="none" w:sz="0" w:space="0" w:color="auto"/>
            <w:left w:val="none" w:sz="0" w:space="0" w:color="auto"/>
            <w:bottom w:val="none" w:sz="0" w:space="0" w:color="auto"/>
            <w:right w:val="none" w:sz="0" w:space="0" w:color="auto"/>
          </w:divBdr>
        </w:div>
      </w:divsChild>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099911104">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192957499">
      <w:bodyDiv w:val="1"/>
      <w:marLeft w:val="0"/>
      <w:marRight w:val="0"/>
      <w:marTop w:val="0"/>
      <w:marBottom w:val="0"/>
      <w:divBdr>
        <w:top w:val="none" w:sz="0" w:space="0" w:color="auto"/>
        <w:left w:val="none" w:sz="0" w:space="0" w:color="auto"/>
        <w:bottom w:val="none" w:sz="0" w:space="0" w:color="auto"/>
        <w:right w:val="none" w:sz="0" w:space="0" w:color="auto"/>
      </w:divBdr>
    </w:div>
    <w:div w:id="1332100780">
      <w:bodyDiv w:val="1"/>
      <w:marLeft w:val="0"/>
      <w:marRight w:val="0"/>
      <w:marTop w:val="0"/>
      <w:marBottom w:val="0"/>
      <w:divBdr>
        <w:top w:val="none" w:sz="0" w:space="0" w:color="auto"/>
        <w:left w:val="none" w:sz="0" w:space="0" w:color="auto"/>
        <w:bottom w:val="none" w:sz="0" w:space="0" w:color="auto"/>
        <w:right w:val="none" w:sz="0" w:space="0" w:color="auto"/>
      </w:divBdr>
      <w:divsChild>
        <w:div w:id="581450560">
          <w:marLeft w:val="0"/>
          <w:marRight w:val="0"/>
          <w:marTop w:val="0"/>
          <w:marBottom w:val="0"/>
          <w:divBdr>
            <w:top w:val="none" w:sz="0" w:space="0" w:color="auto"/>
            <w:left w:val="none" w:sz="0" w:space="0" w:color="auto"/>
            <w:bottom w:val="none" w:sz="0" w:space="0" w:color="auto"/>
            <w:right w:val="none" w:sz="0" w:space="0" w:color="auto"/>
          </w:divBdr>
          <w:divsChild>
            <w:div w:id="264266917">
              <w:marLeft w:val="0"/>
              <w:marRight w:val="0"/>
              <w:marTop w:val="0"/>
              <w:marBottom w:val="0"/>
              <w:divBdr>
                <w:top w:val="none" w:sz="0" w:space="0" w:color="auto"/>
                <w:left w:val="none" w:sz="0" w:space="0" w:color="auto"/>
                <w:bottom w:val="none" w:sz="0" w:space="0" w:color="auto"/>
                <w:right w:val="none" w:sz="0" w:space="0" w:color="auto"/>
              </w:divBdr>
              <w:divsChild>
                <w:div w:id="1719891827">
                  <w:marLeft w:val="0"/>
                  <w:marRight w:val="0"/>
                  <w:marTop w:val="0"/>
                  <w:marBottom w:val="0"/>
                  <w:divBdr>
                    <w:top w:val="none" w:sz="0" w:space="0" w:color="auto"/>
                    <w:left w:val="none" w:sz="0" w:space="0" w:color="auto"/>
                    <w:bottom w:val="none" w:sz="0" w:space="0" w:color="auto"/>
                    <w:right w:val="none" w:sz="0" w:space="0" w:color="auto"/>
                  </w:divBdr>
                  <w:divsChild>
                    <w:div w:id="193883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63020">
          <w:marLeft w:val="0"/>
          <w:marRight w:val="0"/>
          <w:marTop w:val="0"/>
          <w:marBottom w:val="0"/>
          <w:divBdr>
            <w:top w:val="none" w:sz="0" w:space="0" w:color="auto"/>
            <w:left w:val="none" w:sz="0" w:space="0" w:color="auto"/>
            <w:bottom w:val="none" w:sz="0" w:space="0" w:color="auto"/>
            <w:right w:val="none" w:sz="0" w:space="0" w:color="auto"/>
          </w:divBdr>
          <w:divsChild>
            <w:div w:id="979923225">
              <w:marLeft w:val="0"/>
              <w:marRight w:val="0"/>
              <w:marTop w:val="0"/>
              <w:marBottom w:val="0"/>
              <w:divBdr>
                <w:top w:val="none" w:sz="0" w:space="0" w:color="auto"/>
                <w:left w:val="none" w:sz="0" w:space="0" w:color="auto"/>
                <w:bottom w:val="none" w:sz="0" w:space="0" w:color="auto"/>
                <w:right w:val="none" w:sz="0" w:space="0" w:color="auto"/>
              </w:divBdr>
              <w:divsChild>
                <w:div w:id="483814295">
                  <w:marLeft w:val="0"/>
                  <w:marRight w:val="0"/>
                  <w:marTop w:val="0"/>
                  <w:marBottom w:val="0"/>
                  <w:divBdr>
                    <w:top w:val="none" w:sz="0" w:space="0" w:color="auto"/>
                    <w:left w:val="none" w:sz="0" w:space="0" w:color="auto"/>
                    <w:bottom w:val="none" w:sz="0" w:space="0" w:color="auto"/>
                    <w:right w:val="none" w:sz="0" w:space="0" w:color="auto"/>
                  </w:divBdr>
                  <w:divsChild>
                    <w:div w:id="602106885">
                      <w:marLeft w:val="0"/>
                      <w:marRight w:val="0"/>
                      <w:marTop w:val="0"/>
                      <w:marBottom w:val="0"/>
                      <w:divBdr>
                        <w:top w:val="none" w:sz="0" w:space="0" w:color="auto"/>
                        <w:left w:val="none" w:sz="0" w:space="0" w:color="auto"/>
                        <w:bottom w:val="none" w:sz="0" w:space="0" w:color="auto"/>
                        <w:right w:val="none" w:sz="0" w:space="0" w:color="auto"/>
                      </w:divBdr>
                      <w:divsChild>
                        <w:div w:id="1353071955">
                          <w:marLeft w:val="0"/>
                          <w:marRight w:val="0"/>
                          <w:marTop w:val="0"/>
                          <w:marBottom w:val="0"/>
                          <w:divBdr>
                            <w:top w:val="none" w:sz="0" w:space="0" w:color="auto"/>
                            <w:left w:val="none" w:sz="0" w:space="0" w:color="auto"/>
                            <w:bottom w:val="none" w:sz="0" w:space="0" w:color="auto"/>
                            <w:right w:val="none" w:sz="0" w:space="0" w:color="auto"/>
                          </w:divBdr>
                          <w:divsChild>
                            <w:div w:id="507141822">
                              <w:marLeft w:val="0"/>
                              <w:marRight w:val="0"/>
                              <w:marTop w:val="0"/>
                              <w:marBottom w:val="0"/>
                              <w:divBdr>
                                <w:top w:val="none" w:sz="0" w:space="0" w:color="auto"/>
                                <w:left w:val="none" w:sz="0" w:space="0" w:color="auto"/>
                                <w:bottom w:val="none" w:sz="0" w:space="0" w:color="auto"/>
                                <w:right w:val="none" w:sz="0" w:space="0" w:color="auto"/>
                              </w:divBdr>
                            </w:div>
                          </w:divsChild>
                        </w:div>
                        <w:div w:id="990401796">
                          <w:marLeft w:val="0"/>
                          <w:marRight w:val="0"/>
                          <w:marTop w:val="0"/>
                          <w:marBottom w:val="0"/>
                          <w:divBdr>
                            <w:top w:val="none" w:sz="0" w:space="0" w:color="auto"/>
                            <w:left w:val="none" w:sz="0" w:space="0" w:color="auto"/>
                            <w:bottom w:val="none" w:sz="0" w:space="0" w:color="auto"/>
                            <w:right w:val="none" w:sz="0" w:space="0" w:color="auto"/>
                          </w:divBdr>
                          <w:divsChild>
                            <w:div w:id="101275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570968">
          <w:marLeft w:val="0"/>
          <w:marRight w:val="0"/>
          <w:marTop w:val="0"/>
          <w:marBottom w:val="0"/>
          <w:divBdr>
            <w:top w:val="none" w:sz="0" w:space="0" w:color="auto"/>
            <w:left w:val="none" w:sz="0" w:space="0" w:color="auto"/>
            <w:bottom w:val="none" w:sz="0" w:space="0" w:color="auto"/>
            <w:right w:val="none" w:sz="0" w:space="0" w:color="auto"/>
          </w:divBdr>
          <w:divsChild>
            <w:div w:id="2086880322">
              <w:marLeft w:val="0"/>
              <w:marRight w:val="0"/>
              <w:marTop w:val="0"/>
              <w:marBottom w:val="0"/>
              <w:divBdr>
                <w:top w:val="none" w:sz="0" w:space="0" w:color="auto"/>
                <w:left w:val="none" w:sz="0" w:space="0" w:color="auto"/>
                <w:bottom w:val="none" w:sz="0" w:space="0" w:color="auto"/>
                <w:right w:val="none" w:sz="0" w:space="0" w:color="auto"/>
              </w:divBdr>
              <w:divsChild>
                <w:div w:id="1984389407">
                  <w:marLeft w:val="0"/>
                  <w:marRight w:val="0"/>
                  <w:marTop w:val="0"/>
                  <w:marBottom w:val="0"/>
                  <w:divBdr>
                    <w:top w:val="none" w:sz="0" w:space="0" w:color="auto"/>
                    <w:left w:val="none" w:sz="0" w:space="0" w:color="auto"/>
                    <w:bottom w:val="none" w:sz="0" w:space="0" w:color="auto"/>
                    <w:right w:val="none" w:sz="0" w:space="0" w:color="auto"/>
                  </w:divBdr>
                  <w:divsChild>
                    <w:div w:id="1348481037">
                      <w:marLeft w:val="0"/>
                      <w:marRight w:val="0"/>
                      <w:marTop w:val="0"/>
                      <w:marBottom w:val="0"/>
                      <w:divBdr>
                        <w:top w:val="none" w:sz="0" w:space="0" w:color="auto"/>
                        <w:left w:val="none" w:sz="0" w:space="0" w:color="auto"/>
                        <w:bottom w:val="none" w:sz="0" w:space="0" w:color="auto"/>
                        <w:right w:val="none" w:sz="0" w:space="0" w:color="auto"/>
                      </w:divBdr>
                      <w:divsChild>
                        <w:div w:id="1215385030">
                          <w:marLeft w:val="0"/>
                          <w:marRight w:val="0"/>
                          <w:marTop w:val="0"/>
                          <w:marBottom w:val="0"/>
                          <w:divBdr>
                            <w:top w:val="none" w:sz="0" w:space="0" w:color="auto"/>
                            <w:left w:val="none" w:sz="0" w:space="0" w:color="auto"/>
                            <w:bottom w:val="none" w:sz="0" w:space="0" w:color="auto"/>
                            <w:right w:val="none" w:sz="0" w:space="0" w:color="auto"/>
                          </w:divBdr>
                          <w:divsChild>
                            <w:div w:id="191261915">
                              <w:marLeft w:val="0"/>
                              <w:marRight w:val="0"/>
                              <w:marTop w:val="0"/>
                              <w:marBottom w:val="0"/>
                              <w:divBdr>
                                <w:top w:val="none" w:sz="0" w:space="0" w:color="auto"/>
                                <w:left w:val="none" w:sz="0" w:space="0" w:color="auto"/>
                                <w:bottom w:val="none" w:sz="0" w:space="0" w:color="auto"/>
                                <w:right w:val="none" w:sz="0" w:space="0" w:color="auto"/>
                              </w:divBdr>
                            </w:div>
                          </w:divsChild>
                        </w:div>
                        <w:div w:id="47534828">
                          <w:marLeft w:val="0"/>
                          <w:marRight w:val="0"/>
                          <w:marTop w:val="0"/>
                          <w:marBottom w:val="0"/>
                          <w:divBdr>
                            <w:top w:val="none" w:sz="0" w:space="0" w:color="auto"/>
                            <w:left w:val="none" w:sz="0" w:space="0" w:color="auto"/>
                            <w:bottom w:val="none" w:sz="0" w:space="0" w:color="auto"/>
                            <w:right w:val="none" w:sz="0" w:space="0" w:color="auto"/>
                          </w:divBdr>
                          <w:divsChild>
                            <w:div w:id="106202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148578">
          <w:marLeft w:val="0"/>
          <w:marRight w:val="0"/>
          <w:marTop w:val="0"/>
          <w:marBottom w:val="0"/>
          <w:divBdr>
            <w:top w:val="none" w:sz="0" w:space="0" w:color="auto"/>
            <w:left w:val="none" w:sz="0" w:space="0" w:color="auto"/>
            <w:bottom w:val="none" w:sz="0" w:space="0" w:color="auto"/>
            <w:right w:val="none" w:sz="0" w:space="0" w:color="auto"/>
          </w:divBdr>
          <w:divsChild>
            <w:div w:id="1017580598">
              <w:marLeft w:val="0"/>
              <w:marRight w:val="0"/>
              <w:marTop w:val="0"/>
              <w:marBottom w:val="0"/>
              <w:divBdr>
                <w:top w:val="none" w:sz="0" w:space="0" w:color="auto"/>
                <w:left w:val="none" w:sz="0" w:space="0" w:color="auto"/>
                <w:bottom w:val="none" w:sz="0" w:space="0" w:color="auto"/>
                <w:right w:val="none" w:sz="0" w:space="0" w:color="auto"/>
              </w:divBdr>
              <w:divsChild>
                <w:div w:id="110395389">
                  <w:marLeft w:val="0"/>
                  <w:marRight w:val="0"/>
                  <w:marTop w:val="0"/>
                  <w:marBottom w:val="0"/>
                  <w:divBdr>
                    <w:top w:val="none" w:sz="0" w:space="0" w:color="auto"/>
                    <w:left w:val="none" w:sz="0" w:space="0" w:color="auto"/>
                    <w:bottom w:val="none" w:sz="0" w:space="0" w:color="auto"/>
                    <w:right w:val="none" w:sz="0" w:space="0" w:color="auto"/>
                  </w:divBdr>
                  <w:divsChild>
                    <w:div w:id="590703784">
                      <w:marLeft w:val="0"/>
                      <w:marRight w:val="0"/>
                      <w:marTop w:val="0"/>
                      <w:marBottom w:val="0"/>
                      <w:divBdr>
                        <w:top w:val="none" w:sz="0" w:space="0" w:color="auto"/>
                        <w:left w:val="none" w:sz="0" w:space="0" w:color="auto"/>
                        <w:bottom w:val="none" w:sz="0" w:space="0" w:color="auto"/>
                        <w:right w:val="none" w:sz="0" w:space="0" w:color="auto"/>
                      </w:divBdr>
                      <w:divsChild>
                        <w:div w:id="1618831049">
                          <w:marLeft w:val="0"/>
                          <w:marRight w:val="0"/>
                          <w:marTop w:val="0"/>
                          <w:marBottom w:val="0"/>
                          <w:divBdr>
                            <w:top w:val="none" w:sz="0" w:space="0" w:color="auto"/>
                            <w:left w:val="none" w:sz="0" w:space="0" w:color="auto"/>
                            <w:bottom w:val="none" w:sz="0" w:space="0" w:color="auto"/>
                            <w:right w:val="none" w:sz="0" w:space="0" w:color="auto"/>
                          </w:divBdr>
                          <w:divsChild>
                            <w:div w:id="1134257362">
                              <w:marLeft w:val="0"/>
                              <w:marRight w:val="0"/>
                              <w:marTop w:val="0"/>
                              <w:marBottom w:val="0"/>
                              <w:divBdr>
                                <w:top w:val="none" w:sz="0" w:space="0" w:color="auto"/>
                                <w:left w:val="none" w:sz="0" w:space="0" w:color="auto"/>
                                <w:bottom w:val="none" w:sz="0" w:space="0" w:color="auto"/>
                                <w:right w:val="none" w:sz="0" w:space="0" w:color="auto"/>
                              </w:divBdr>
                            </w:div>
                          </w:divsChild>
                        </w:div>
                        <w:div w:id="2019690818">
                          <w:marLeft w:val="0"/>
                          <w:marRight w:val="0"/>
                          <w:marTop w:val="0"/>
                          <w:marBottom w:val="0"/>
                          <w:divBdr>
                            <w:top w:val="none" w:sz="0" w:space="0" w:color="auto"/>
                            <w:left w:val="none" w:sz="0" w:space="0" w:color="auto"/>
                            <w:bottom w:val="none" w:sz="0" w:space="0" w:color="auto"/>
                            <w:right w:val="none" w:sz="0" w:space="0" w:color="auto"/>
                          </w:divBdr>
                          <w:divsChild>
                            <w:div w:id="110260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536397">
          <w:marLeft w:val="0"/>
          <w:marRight w:val="0"/>
          <w:marTop w:val="0"/>
          <w:marBottom w:val="0"/>
          <w:divBdr>
            <w:top w:val="none" w:sz="0" w:space="0" w:color="auto"/>
            <w:left w:val="none" w:sz="0" w:space="0" w:color="auto"/>
            <w:bottom w:val="none" w:sz="0" w:space="0" w:color="auto"/>
            <w:right w:val="none" w:sz="0" w:space="0" w:color="auto"/>
          </w:divBdr>
          <w:divsChild>
            <w:div w:id="1398243144">
              <w:marLeft w:val="0"/>
              <w:marRight w:val="0"/>
              <w:marTop w:val="0"/>
              <w:marBottom w:val="0"/>
              <w:divBdr>
                <w:top w:val="none" w:sz="0" w:space="0" w:color="auto"/>
                <w:left w:val="none" w:sz="0" w:space="0" w:color="auto"/>
                <w:bottom w:val="none" w:sz="0" w:space="0" w:color="auto"/>
                <w:right w:val="none" w:sz="0" w:space="0" w:color="auto"/>
              </w:divBdr>
              <w:divsChild>
                <w:div w:id="1974209652">
                  <w:marLeft w:val="0"/>
                  <w:marRight w:val="0"/>
                  <w:marTop w:val="0"/>
                  <w:marBottom w:val="0"/>
                  <w:divBdr>
                    <w:top w:val="none" w:sz="0" w:space="0" w:color="auto"/>
                    <w:left w:val="none" w:sz="0" w:space="0" w:color="auto"/>
                    <w:bottom w:val="none" w:sz="0" w:space="0" w:color="auto"/>
                    <w:right w:val="none" w:sz="0" w:space="0" w:color="auto"/>
                  </w:divBdr>
                  <w:divsChild>
                    <w:div w:id="1969429052">
                      <w:marLeft w:val="0"/>
                      <w:marRight w:val="0"/>
                      <w:marTop w:val="0"/>
                      <w:marBottom w:val="0"/>
                      <w:divBdr>
                        <w:top w:val="none" w:sz="0" w:space="0" w:color="auto"/>
                        <w:left w:val="none" w:sz="0" w:space="0" w:color="auto"/>
                        <w:bottom w:val="none" w:sz="0" w:space="0" w:color="auto"/>
                        <w:right w:val="none" w:sz="0" w:space="0" w:color="auto"/>
                      </w:divBdr>
                      <w:divsChild>
                        <w:div w:id="1301882090">
                          <w:marLeft w:val="0"/>
                          <w:marRight w:val="0"/>
                          <w:marTop w:val="0"/>
                          <w:marBottom w:val="0"/>
                          <w:divBdr>
                            <w:top w:val="none" w:sz="0" w:space="0" w:color="auto"/>
                            <w:left w:val="none" w:sz="0" w:space="0" w:color="auto"/>
                            <w:bottom w:val="none" w:sz="0" w:space="0" w:color="auto"/>
                            <w:right w:val="none" w:sz="0" w:space="0" w:color="auto"/>
                          </w:divBdr>
                          <w:divsChild>
                            <w:div w:id="1305619097">
                              <w:marLeft w:val="0"/>
                              <w:marRight w:val="0"/>
                              <w:marTop w:val="0"/>
                              <w:marBottom w:val="0"/>
                              <w:divBdr>
                                <w:top w:val="none" w:sz="0" w:space="0" w:color="auto"/>
                                <w:left w:val="none" w:sz="0" w:space="0" w:color="auto"/>
                                <w:bottom w:val="none" w:sz="0" w:space="0" w:color="auto"/>
                                <w:right w:val="none" w:sz="0" w:space="0" w:color="auto"/>
                              </w:divBdr>
                            </w:div>
                          </w:divsChild>
                        </w:div>
                        <w:div w:id="2068801096">
                          <w:marLeft w:val="0"/>
                          <w:marRight w:val="0"/>
                          <w:marTop w:val="0"/>
                          <w:marBottom w:val="0"/>
                          <w:divBdr>
                            <w:top w:val="none" w:sz="0" w:space="0" w:color="auto"/>
                            <w:left w:val="none" w:sz="0" w:space="0" w:color="auto"/>
                            <w:bottom w:val="none" w:sz="0" w:space="0" w:color="auto"/>
                            <w:right w:val="none" w:sz="0" w:space="0" w:color="auto"/>
                          </w:divBdr>
                          <w:divsChild>
                            <w:div w:id="8302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795778">
          <w:marLeft w:val="0"/>
          <w:marRight w:val="0"/>
          <w:marTop w:val="0"/>
          <w:marBottom w:val="0"/>
          <w:divBdr>
            <w:top w:val="none" w:sz="0" w:space="0" w:color="auto"/>
            <w:left w:val="none" w:sz="0" w:space="0" w:color="auto"/>
            <w:bottom w:val="none" w:sz="0" w:space="0" w:color="auto"/>
            <w:right w:val="none" w:sz="0" w:space="0" w:color="auto"/>
          </w:divBdr>
          <w:divsChild>
            <w:div w:id="1931698803">
              <w:marLeft w:val="0"/>
              <w:marRight w:val="0"/>
              <w:marTop w:val="0"/>
              <w:marBottom w:val="0"/>
              <w:divBdr>
                <w:top w:val="none" w:sz="0" w:space="0" w:color="auto"/>
                <w:left w:val="none" w:sz="0" w:space="0" w:color="auto"/>
                <w:bottom w:val="none" w:sz="0" w:space="0" w:color="auto"/>
                <w:right w:val="none" w:sz="0" w:space="0" w:color="auto"/>
              </w:divBdr>
              <w:divsChild>
                <w:div w:id="1050690050">
                  <w:marLeft w:val="0"/>
                  <w:marRight w:val="0"/>
                  <w:marTop w:val="0"/>
                  <w:marBottom w:val="0"/>
                  <w:divBdr>
                    <w:top w:val="none" w:sz="0" w:space="0" w:color="auto"/>
                    <w:left w:val="none" w:sz="0" w:space="0" w:color="auto"/>
                    <w:bottom w:val="none" w:sz="0" w:space="0" w:color="auto"/>
                    <w:right w:val="none" w:sz="0" w:space="0" w:color="auto"/>
                  </w:divBdr>
                  <w:divsChild>
                    <w:div w:id="738361178">
                      <w:marLeft w:val="0"/>
                      <w:marRight w:val="0"/>
                      <w:marTop w:val="0"/>
                      <w:marBottom w:val="0"/>
                      <w:divBdr>
                        <w:top w:val="none" w:sz="0" w:space="0" w:color="auto"/>
                        <w:left w:val="none" w:sz="0" w:space="0" w:color="auto"/>
                        <w:bottom w:val="none" w:sz="0" w:space="0" w:color="auto"/>
                        <w:right w:val="none" w:sz="0" w:space="0" w:color="auto"/>
                      </w:divBdr>
                      <w:divsChild>
                        <w:div w:id="757672133">
                          <w:marLeft w:val="0"/>
                          <w:marRight w:val="0"/>
                          <w:marTop w:val="0"/>
                          <w:marBottom w:val="0"/>
                          <w:divBdr>
                            <w:top w:val="none" w:sz="0" w:space="0" w:color="auto"/>
                            <w:left w:val="none" w:sz="0" w:space="0" w:color="auto"/>
                            <w:bottom w:val="none" w:sz="0" w:space="0" w:color="auto"/>
                            <w:right w:val="none" w:sz="0" w:space="0" w:color="auto"/>
                          </w:divBdr>
                          <w:divsChild>
                            <w:div w:id="1957443095">
                              <w:marLeft w:val="0"/>
                              <w:marRight w:val="0"/>
                              <w:marTop w:val="0"/>
                              <w:marBottom w:val="0"/>
                              <w:divBdr>
                                <w:top w:val="none" w:sz="0" w:space="0" w:color="auto"/>
                                <w:left w:val="none" w:sz="0" w:space="0" w:color="auto"/>
                                <w:bottom w:val="none" w:sz="0" w:space="0" w:color="auto"/>
                                <w:right w:val="none" w:sz="0" w:space="0" w:color="auto"/>
                              </w:divBdr>
                            </w:div>
                          </w:divsChild>
                        </w:div>
                        <w:div w:id="624970892">
                          <w:marLeft w:val="0"/>
                          <w:marRight w:val="0"/>
                          <w:marTop w:val="0"/>
                          <w:marBottom w:val="0"/>
                          <w:divBdr>
                            <w:top w:val="none" w:sz="0" w:space="0" w:color="auto"/>
                            <w:left w:val="none" w:sz="0" w:space="0" w:color="auto"/>
                            <w:bottom w:val="none" w:sz="0" w:space="0" w:color="auto"/>
                            <w:right w:val="none" w:sz="0" w:space="0" w:color="auto"/>
                          </w:divBdr>
                          <w:divsChild>
                            <w:div w:id="31399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045053729">
      <w:bodyDiv w:val="1"/>
      <w:marLeft w:val="0"/>
      <w:marRight w:val="0"/>
      <w:marTop w:val="0"/>
      <w:marBottom w:val="0"/>
      <w:divBdr>
        <w:top w:val="none" w:sz="0" w:space="0" w:color="auto"/>
        <w:left w:val="none" w:sz="0" w:space="0" w:color="auto"/>
        <w:bottom w:val="none" w:sz="0" w:space="0" w:color="auto"/>
        <w:right w:val="none" w:sz="0" w:space="0" w:color="auto"/>
      </w:divBdr>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LCID>0</b:LC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F33BF286-1B87-43C8-9E32-AC3F5EDC0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5</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dan</cp:lastModifiedBy>
  <cp:revision>71</cp:revision>
  <dcterms:created xsi:type="dcterms:W3CDTF">2019-03-24T01:42:00Z</dcterms:created>
  <dcterms:modified xsi:type="dcterms:W3CDTF">2019-03-24T06:06:00Z</dcterms:modified>
</cp:coreProperties>
</file>